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7B97A" w14:textId="7BB047C7" w:rsidR="00BF6F77" w:rsidRDefault="0071732B">
      <w:pPr>
        <w:jc w:val="center"/>
        <w:rPr>
          <w:rFonts w:ascii="Arial" w:eastAsia="宋体" w:hAnsi="Arial" w:cs="Arial"/>
          <w:b/>
          <w:kern w:val="2"/>
          <w:sz w:val="32"/>
          <w:szCs w:val="32"/>
        </w:rPr>
      </w:pPr>
      <w:r>
        <w:rPr>
          <w:rFonts w:ascii="Arial" w:eastAsia="宋体" w:hAnsi="Arial" w:cs="Arial"/>
          <w:b/>
          <w:kern w:val="2"/>
          <w:sz w:val="32"/>
          <w:szCs w:val="32"/>
        </w:rPr>
        <w:t xml:space="preserve">Development of </w:t>
      </w:r>
      <w:r w:rsidR="009975E6">
        <w:rPr>
          <w:rFonts w:ascii="Arial" w:eastAsia="宋体" w:hAnsi="Arial" w:cs="Arial" w:hint="eastAsia"/>
          <w:b/>
          <w:kern w:val="2"/>
          <w:sz w:val="32"/>
          <w:szCs w:val="32"/>
        </w:rPr>
        <w:t>a</w:t>
      </w:r>
      <w:r w:rsidR="009975E6">
        <w:rPr>
          <w:rFonts w:ascii="Arial" w:eastAsia="宋体" w:hAnsi="Arial" w:cs="Arial"/>
          <w:b/>
          <w:kern w:val="2"/>
          <w:sz w:val="32"/>
          <w:szCs w:val="32"/>
        </w:rPr>
        <w:t xml:space="preserve"> </w:t>
      </w:r>
      <w:r>
        <w:rPr>
          <w:rFonts w:ascii="Arial" w:eastAsia="宋体" w:hAnsi="Arial" w:cs="Arial"/>
          <w:b/>
          <w:kern w:val="2"/>
          <w:sz w:val="32"/>
          <w:szCs w:val="32"/>
        </w:rPr>
        <w:t>Liquid Neutron Reflectometer at China Spallation Neutron Source</w:t>
      </w:r>
    </w:p>
    <w:p w14:paraId="01434B1A" w14:textId="52889581" w:rsidR="00BF6F77" w:rsidRDefault="0071732B">
      <w:pPr>
        <w:widowControl w:val="0"/>
        <w:spacing w:before="120" w:after="0" w:line="240" w:lineRule="auto"/>
        <w:ind w:right="-360"/>
        <w:jc w:val="center"/>
        <w:rPr>
          <w:rFonts w:ascii="Times New Roman" w:eastAsia="宋体" w:hAnsi="Times New Roman" w:cs="Times New Roman"/>
          <w:b/>
          <w:kern w:val="2"/>
          <w:sz w:val="24"/>
          <w:szCs w:val="24"/>
          <w:vertAlign w:val="superscript"/>
        </w:rPr>
      </w:pPr>
      <w:r>
        <w:rPr>
          <w:rFonts w:ascii="Times New Roman" w:eastAsia="宋体" w:hAnsi="Times New Roman" w:cs="Times New Roman"/>
          <w:b/>
          <w:kern w:val="2"/>
          <w:sz w:val="24"/>
          <w:szCs w:val="24"/>
          <w:u w:val="thick"/>
        </w:rPr>
        <w:t xml:space="preserve">Guang </w:t>
      </w:r>
      <w:proofErr w:type="spellStart"/>
      <w:proofErr w:type="gramStart"/>
      <w:r>
        <w:rPr>
          <w:rFonts w:ascii="Times New Roman" w:eastAsia="宋体" w:hAnsi="Times New Roman" w:cs="Times New Roman"/>
          <w:b/>
          <w:kern w:val="2"/>
          <w:sz w:val="24"/>
          <w:szCs w:val="24"/>
          <w:u w:val="thick"/>
        </w:rPr>
        <w:t>Wang</w:t>
      </w:r>
      <w:r>
        <w:rPr>
          <w:rFonts w:ascii="Times New Roman" w:eastAsia="宋体" w:hAnsi="Times New Roman" w:cs="Times New Roman"/>
          <w:b/>
          <w:kern w:val="2"/>
          <w:sz w:val="24"/>
          <w:szCs w:val="24"/>
          <w:u w:val="thick"/>
          <w:vertAlign w:val="superscript"/>
        </w:rPr>
        <w:t>a,b</w:t>
      </w:r>
      <w:proofErr w:type="spellEnd"/>
      <w:proofErr w:type="gramEnd"/>
      <w:r>
        <w:rPr>
          <w:rFonts w:ascii="Times New Roman" w:eastAsia="宋体" w:hAnsi="Times New Roman" w:cs="Times New Roman"/>
          <w:b/>
          <w:kern w:val="2"/>
          <w:sz w:val="24"/>
          <w:szCs w:val="24"/>
          <w:u w:val="thick"/>
          <w:vertAlign w:val="superscript"/>
        </w:rPr>
        <w:t>*</w:t>
      </w:r>
      <w:r>
        <w:rPr>
          <w:rFonts w:ascii="Times New Roman" w:eastAsia="宋体" w:hAnsi="Times New Roman" w:cs="Times New Roman" w:hint="eastAsia"/>
          <w:b/>
          <w:kern w:val="2"/>
          <w:sz w:val="24"/>
          <w:szCs w:val="24"/>
        </w:rPr>
        <w:t>,</w:t>
      </w:r>
      <w:r>
        <w:rPr>
          <w:rFonts w:ascii="Times New Roman" w:eastAsia="宋体" w:hAnsi="Times New Roman" w:cs="Times New Roman"/>
          <w:b/>
          <w:kern w:val="2"/>
          <w:sz w:val="24"/>
          <w:szCs w:val="24"/>
        </w:rPr>
        <w:t xml:space="preserve"> </w:t>
      </w:r>
      <w:proofErr w:type="spellStart"/>
      <w:r>
        <w:rPr>
          <w:rFonts w:ascii="Times New Roman" w:eastAsia="宋体" w:hAnsi="Times New Roman" w:cs="Times New Roman"/>
          <w:b/>
          <w:kern w:val="2"/>
          <w:sz w:val="24"/>
          <w:szCs w:val="24"/>
        </w:rPr>
        <w:t>Junrong</w:t>
      </w:r>
      <w:proofErr w:type="spellEnd"/>
      <w:r>
        <w:rPr>
          <w:rFonts w:ascii="Times New Roman" w:eastAsia="宋体" w:hAnsi="Times New Roman" w:cs="Times New Roman"/>
          <w:b/>
          <w:kern w:val="2"/>
          <w:sz w:val="24"/>
          <w:szCs w:val="24"/>
        </w:rPr>
        <w:t xml:space="preserve"> </w:t>
      </w:r>
      <w:proofErr w:type="spellStart"/>
      <w:r>
        <w:rPr>
          <w:rFonts w:ascii="Times New Roman" w:eastAsia="宋体" w:hAnsi="Times New Roman" w:cs="Times New Roman"/>
          <w:b/>
          <w:kern w:val="2"/>
          <w:sz w:val="24"/>
          <w:szCs w:val="24"/>
        </w:rPr>
        <w:t>Zhang</w:t>
      </w:r>
      <w:r>
        <w:rPr>
          <w:rFonts w:ascii="Times New Roman" w:eastAsia="宋体" w:hAnsi="Times New Roman" w:cs="Times New Roman"/>
          <w:b/>
          <w:kern w:val="2"/>
          <w:sz w:val="24"/>
          <w:szCs w:val="24"/>
          <w:vertAlign w:val="superscript"/>
        </w:rPr>
        <w:t>a,b</w:t>
      </w:r>
      <w:proofErr w:type="spellEnd"/>
      <w:r>
        <w:rPr>
          <w:rFonts w:ascii="Times New Roman" w:eastAsia="宋体" w:hAnsi="Times New Roman" w:cs="Times New Roman"/>
          <w:b/>
          <w:kern w:val="2"/>
          <w:sz w:val="24"/>
          <w:szCs w:val="24"/>
        </w:rPr>
        <w:t xml:space="preserve"> &amp; </w:t>
      </w:r>
      <w:proofErr w:type="spellStart"/>
      <w:r>
        <w:rPr>
          <w:rFonts w:ascii="Times New Roman" w:eastAsia="宋体" w:hAnsi="Times New Roman" w:cs="Times New Roman"/>
          <w:b/>
          <w:kern w:val="2"/>
          <w:sz w:val="24"/>
          <w:szCs w:val="24"/>
        </w:rPr>
        <w:t>Tianjiao</w:t>
      </w:r>
      <w:proofErr w:type="spellEnd"/>
      <w:r>
        <w:rPr>
          <w:rFonts w:ascii="Times New Roman" w:eastAsia="宋体" w:hAnsi="Times New Roman" w:cs="Times New Roman"/>
          <w:b/>
          <w:kern w:val="2"/>
          <w:sz w:val="24"/>
          <w:szCs w:val="24"/>
        </w:rPr>
        <w:t xml:space="preserve"> </w:t>
      </w:r>
      <w:proofErr w:type="spellStart"/>
      <w:r>
        <w:rPr>
          <w:rFonts w:ascii="Times New Roman" w:eastAsia="宋体" w:hAnsi="Times New Roman" w:cs="Times New Roman"/>
          <w:b/>
          <w:kern w:val="2"/>
          <w:sz w:val="24"/>
          <w:szCs w:val="24"/>
        </w:rPr>
        <w:t>Liang</w:t>
      </w:r>
      <w:r>
        <w:rPr>
          <w:rFonts w:ascii="Times New Roman" w:eastAsia="宋体" w:hAnsi="Times New Roman" w:cs="Times New Roman"/>
          <w:b/>
          <w:kern w:val="2"/>
          <w:sz w:val="24"/>
          <w:szCs w:val="24"/>
          <w:vertAlign w:val="superscript"/>
        </w:rPr>
        <w:t>a,b</w:t>
      </w:r>
      <w:proofErr w:type="spellEnd"/>
      <w:r>
        <w:rPr>
          <w:rFonts w:ascii="Times New Roman" w:eastAsia="宋体" w:hAnsi="Times New Roman" w:cs="Times New Roman"/>
          <w:b/>
          <w:kern w:val="2"/>
          <w:sz w:val="24"/>
          <w:szCs w:val="24"/>
          <w:vertAlign w:val="superscript"/>
        </w:rPr>
        <w:t>*</w:t>
      </w:r>
    </w:p>
    <w:p w14:paraId="0DA4C664" w14:textId="77777777" w:rsidR="00BF6F77" w:rsidRDefault="0071732B">
      <w:pPr>
        <w:widowControl w:val="0"/>
        <w:spacing w:before="120" w:after="0" w:line="240" w:lineRule="auto"/>
        <w:ind w:right="-360"/>
        <w:jc w:val="center"/>
        <w:rPr>
          <w:rFonts w:ascii="Times New Roman" w:eastAsia="宋体" w:hAnsi="Times New Roman" w:cs="Times New Roman"/>
          <w:kern w:val="2"/>
          <w:sz w:val="24"/>
          <w:szCs w:val="24"/>
        </w:rPr>
      </w:pPr>
      <w:r>
        <w:rPr>
          <w:rFonts w:ascii="Times New Roman" w:eastAsia="宋体" w:hAnsi="Times New Roman" w:cs="Times New Roman"/>
          <w:kern w:val="2"/>
          <w:sz w:val="24"/>
          <w:szCs w:val="24"/>
          <w:vertAlign w:val="superscript"/>
        </w:rPr>
        <w:t xml:space="preserve">a </w:t>
      </w:r>
      <w:r>
        <w:rPr>
          <w:rFonts w:ascii="Times New Roman" w:eastAsia="宋体" w:hAnsi="Times New Roman" w:cs="Times New Roman"/>
          <w:kern w:val="2"/>
          <w:sz w:val="24"/>
          <w:szCs w:val="24"/>
        </w:rPr>
        <w:t>Spallation Neutron Source Science Centre, 523803, Dongguan, China;</w:t>
      </w:r>
    </w:p>
    <w:p w14:paraId="055BA8AC" w14:textId="77777777" w:rsidR="00BF6F77" w:rsidRDefault="0071732B">
      <w:pPr>
        <w:widowControl w:val="0"/>
        <w:spacing w:after="120" w:line="240" w:lineRule="auto"/>
        <w:ind w:right="-360"/>
        <w:jc w:val="center"/>
        <w:rPr>
          <w:rFonts w:ascii="Times New Roman" w:eastAsia="宋体" w:hAnsi="Times New Roman" w:cs="Times New Roman"/>
          <w:kern w:val="2"/>
          <w:sz w:val="24"/>
          <w:szCs w:val="24"/>
        </w:rPr>
      </w:pPr>
      <w:r>
        <w:rPr>
          <w:rFonts w:ascii="Times New Roman" w:eastAsia="宋体" w:hAnsi="Times New Roman" w:cs="Times New Roman"/>
          <w:kern w:val="2"/>
          <w:sz w:val="24"/>
          <w:szCs w:val="24"/>
          <w:vertAlign w:val="superscript"/>
        </w:rPr>
        <w:t xml:space="preserve">b </w:t>
      </w:r>
      <w:r>
        <w:rPr>
          <w:rFonts w:ascii="Times New Roman" w:eastAsia="宋体" w:hAnsi="Times New Roman" w:cs="Times New Roman"/>
          <w:kern w:val="2"/>
          <w:sz w:val="24"/>
          <w:szCs w:val="24"/>
        </w:rPr>
        <w:t>Institute of High Energy Physics, Chinese Academy of Sciences, 100049, Beijing, China</w:t>
      </w:r>
    </w:p>
    <w:p w14:paraId="28629242" w14:textId="41112B80" w:rsidR="00BF6F77" w:rsidRDefault="0071732B">
      <w:pPr>
        <w:spacing w:after="0" w:line="360" w:lineRule="auto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E</w:t>
      </w:r>
      <w:r w:rsidR="00F61678">
        <w:rPr>
          <w:rFonts w:ascii="Times New Roman" w:hAnsi="Times New Roman" w:cs="Times New Roman"/>
          <w:sz w:val="21"/>
          <w:szCs w:val="21"/>
        </w:rPr>
        <w:t>-</w:t>
      </w:r>
      <w:r>
        <w:rPr>
          <w:rFonts w:ascii="Times New Roman" w:hAnsi="Times New Roman" w:cs="Times New Roman"/>
          <w:sz w:val="21"/>
          <w:szCs w:val="21"/>
        </w:rPr>
        <w:t xml:space="preserve">mail: </w:t>
      </w:r>
      <w:hyperlink r:id="rId7" w:history="1">
        <w:r>
          <w:rPr>
            <w:rStyle w:val="Hyperlink"/>
            <w:rFonts w:ascii="Times New Roman" w:hAnsi="Times New Roman" w:cs="Times New Roman"/>
            <w:sz w:val="21"/>
            <w:szCs w:val="21"/>
          </w:rPr>
          <w:t>wangguang@ihep.ac.cn</w:t>
        </w:r>
      </w:hyperlink>
      <w:r>
        <w:rPr>
          <w:rFonts w:ascii="Times New Roman" w:hAnsi="Times New Roman" w:cs="Times New Roman"/>
          <w:sz w:val="21"/>
          <w:szCs w:val="21"/>
        </w:rPr>
        <w:t xml:space="preserve"> &amp; </w:t>
      </w:r>
      <w:hyperlink r:id="rId8" w:history="1">
        <w:r>
          <w:rPr>
            <w:rStyle w:val="Hyperlink"/>
            <w:rFonts w:ascii="Times New Roman" w:eastAsia="Times New Roman" w:hAnsi="Times New Roman" w:cs="Times New Roman"/>
            <w:sz w:val="21"/>
            <w:szCs w:val="21"/>
          </w:rPr>
          <w:t>tjliang@ihep.ac.cn</w:t>
        </w:r>
      </w:hyperlink>
    </w:p>
    <w:p w14:paraId="399D88A4" w14:textId="734D723D" w:rsidR="00DD2FFF" w:rsidRDefault="0071732B" w:rsidP="00DD0FC8">
      <w:pPr>
        <w:spacing w:after="80" w:line="240" w:lineRule="auto"/>
        <w:jc w:val="both"/>
        <w:rPr>
          <w:sz w:val="21"/>
          <w:szCs w:val="21"/>
        </w:rPr>
      </w:pPr>
      <w:r>
        <w:rPr>
          <w:sz w:val="21"/>
          <w:szCs w:val="21"/>
        </w:rPr>
        <w:t>Interfaces are scientifically crucial as they allow symmetry breaking, leading to many novel and interesting phenomena</w:t>
      </w:r>
      <w:r w:rsidR="00A54C6E">
        <w:rPr>
          <w:sz w:val="21"/>
          <w:szCs w:val="21"/>
        </w:rPr>
        <w:t>.</w:t>
      </w:r>
      <w:r>
        <w:rPr>
          <w:sz w:val="21"/>
          <w:szCs w:val="21"/>
        </w:rPr>
        <w:t xml:space="preserve"> </w:t>
      </w:r>
      <w:r w:rsidR="00A54C6E">
        <w:rPr>
          <w:sz w:val="21"/>
          <w:szCs w:val="21"/>
        </w:rPr>
        <w:t>T</w:t>
      </w:r>
      <w:r>
        <w:rPr>
          <w:sz w:val="21"/>
          <w:szCs w:val="21"/>
        </w:rPr>
        <w:t>his is not</w:t>
      </w:r>
      <w:r w:rsidR="00A54C6E">
        <w:rPr>
          <w:sz w:val="21"/>
          <w:szCs w:val="21"/>
        </w:rPr>
        <w:t xml:space="preserve"> only true for </w:t>
      </w:r>
      <w:r>
        <w:rPr>
          <w:sz w:val="21"/>
          <w:szCs w:val="21"/>
        </w:rPr>
        <w:t>metal magnetic systems</w:t>
      </w:r>
      <w:r w:rsidR="00A54C6E">
        <w:rPr>
          <w:sz w:val="21"/>
          <w:szCs w:val="21"/>
        </w:rPr>
        <w:t xml:space="preserve"> but also for </w:t>
      </w:r>
      <w:r>
        <w:rPr>
          <w:sz w:val="21"/>
          <w:szCs w:val="21"/>
        </w:rPr>
        <w:t xml:space="preserve">biological interfaces </w:t>
      </w:r>
      <w:r w:rsidR="00A54C6E">
        <w:rPr>
          <w:sz w:val="21"/>
          <w:szCs w:val="21"/>
        </w:rPr>
        <w:t xml:space="preserve">which </w:t>
      </w:r>
      <w:r>
        <w:rPr>
          <w:sz w:val="21"/>
          <w:szCs w:val="21"/>
        </w:rPr>
        <w:t>are crucial for life and consist of stacked layers of proteins</w:t>
      </w:r>
      <w:r w:rsidR="006C0D8F">
        <w:rPr>
          <w:sz w:val="21"/>
          <w:szCs w:val="21"/>
        </w:rPr>
        <w:t>,</w:t>
      </w:r>
      <w:r>
        <w:rPr>
          <w:sz w:val="21"/>
          <w:szCs w:val="21"/>
        </w:rPr>
        <w:t xml:space="preserve"> and catalysts</w:t>
      </w:r>
      <w:r w:rsidR="00A54C6E">
        <w:rPr>
          <w:sz w:val="21"/>
          <w:szCs w:val="21"/>
        </w:rPr>
        <w:t xml:space="preserve"> whose</w:t>
      </w:r>
      <w:r>
        <w:rPr>
          <w:sz w:val="21"/>
          <w:szCs w:val="21"/>
        </w:rPr>
        <w:t xml:space="preserve"> </w:t>
      </w:r>
      <w:r w:rsidR="00A54C6E">
        <w:rPr>
          <w:sz w:val="21"/>
          <w:szCs w:val="21"/>
        </w:rPr>
        <w:t xml:space="preserve">surfaces </w:t>
      </w:r>
      <w:r>
        <w:rPr>
          <w:sz w:val="21"/>
          <w:szCs w:val="21"/>
        </w:rPr>
        <w:t xml:space="preserve">are also critical to how they function. </w:t>
      </w:r>
      <w:r w:rsidR="00EA3ED9">
        <w:rPr>
          <w:sz w:val="21"/>
          <w:szCs w:val="21"/>
        </w:rPr>
        <w:t>Compared to those techniques either lack chemical sensitivity to the sample composition or require invasive labelling, neutron r</w:t>
      </w:r>
      <w:r>
        <w:rPr>
          <w:sz w:val="21"/>
          <w:szCs w:val="21"/>
        </w:rPr>
        <w:t>eflectivity is unique in its ability to probe these buried interfaces and surfaces</w:t>
      </w:r>
      <w:r w:rsidR="00EA3ED9">
        <w:rPr>
          <w:sz w:val="21"/>
          <w:szCs w:val="21"/>
        </w:rPr>
        <w:t xml:space="preserve">, particularly </w:t>
      </w:r>
      <w:r>
        <w:rPr>
          <w:sz w:val="21"/>
          <w:szCs w:val="21"/>
        </w:rPr>
        <w:t>to derive composition and structure information</w:t>
      </w:r>
      <w:r w:rsidR="00BE3C09">
        <w:rPr>
          <w:sz w:val="21"/>
          <w:szCs w:val="21"/>
        </w:rPr>
        <w:t xml:space="preserve"> </w:t>
      </w:r>
      <w:r w:rsidR="001712F7">
        <w:rPr>
          <w:sz w:val="21"/>
          <w:szCs w:val="21"/>
        </w:rPr>
        <w:t>in</w:t>
      </w:r>
      <w:r w:rsidR="00BE3C09">
        <w:rPr>
          <w:sz w:val="21"/>
          <w:szCs w:val="21"/>
        </w:rPr>
        <w:t xml:space="preserve"> response to external stimuli</w:t>
      </w:r>
      <w:r>
        <w:rPr>
          <w:sz w:val="21"/>
          <w:szCs w:val="21"/>
        </w:rPr>
        <w:t>. A complementary reflectometer (the reflectometer</w:t>
      </w:r>
      <w:r w:rsidR="005F5964">
        <w:rPr>
          <w:sz w:val="21"/>
          <w:szCs w:val="21"/>
        </w:rPr>
        <w:t xml:space="preserve"> </w:t>
      </w:r>
      <w:r>
        <w:rPr>
          <w:sz w:val="21"/>
          <w:szCs w:val="21"/>
        </w:rPr>
        <w:t>with a vertical sample geometry</w:t>
      </w:r>
      <w:r w:rsidR="00ED3993">
        <w:rPr>
          <w:sz w:val="21"/>
          <w:szCs w:val="21"/>
        </w:rPr>
        <w:t xml:space="preserve"> has commissioned</w:t>
      </w:r>
      <w:r>
        <w:rPr>
          <w:sz w:val="21"/>
          <w:szCs w:val="21"/>
        </w:rPr>
        <w:t>) with a horizontal sample geometry that will cover the largest and fastest growing scientific areas, including soft matter</w:t>
      </w:r>
      <w:r w:rsidR="00D037F7">
        <w:rPr>
          <w:sz w:val="21"/>
          <w:szCs w:val="21"/>
        </w:rPr>
        <w:t xml:space="preserve">, advanced materials </w:t>
      </w:r>
      <w:r>
        <w:rPr>
          <w:sz w:val="21"/>
          <w:szCs w:val="21"/>
        </w:rPr>
        <w:t xml:space="preserve">and life sciences, has been scheduled in </w:t>
      </w:r>
      <w:r w:rsidR="00005E99">
        <w:rPr>
          <w:sz w:val="21"/>
          <w:szCs w:val="21"/>
        </w:rPr>
        <w:t xml:space="preserve">Phase </w:t>
      </w:r>
      <w:r w:rsidR="00005E99" w:rsidRPr="00005E99">
        <w:rPr>
          <w:rFonts w:ascii="Times New Roman" w:eastAsia="等线" w:hAnsi="Times New Roman" w:cs="Times New Roman"/>
          <w:sz w:val="21"/>
          <w:szCs w:val="21"/>
        </w:rPr>
        <w:t>Ⅱ</w:t>
      </w:r>
      <w:r w:rsidR="00005E99">
        <w:rPr>
          <w:rFonts w:ascii="Times New Roman" w:eastAsia="等线" w:hAnsi="Times New Roman" w:cs="Times New Roman"/>
          <w:sz w:val="21"/>
          <w:szCs w:val="21"/>
        </w:rPr>
        <w:t xml:space="preserve"> of </w:t>
      </w:r>
      <w:r>
        <w:rPr>
          <w:sz w:val="21"/>
          <w:szCs w:val="21"/>
        </w:rPr>
        <w:t>China Spallation Neutron Source (Figure 1).</w:t>
      </w:r>
      <w:r w:rsidR="00DD2FFF" w:rsidRPr="00DD2FFF">
        <w:rPr>
          <w:sz w:val="21"/>
          <w:szCs w:val="21"/>
        </w:rPr>
        <w:t xml:space="preserve"> </w:t>
      </w:r>
      <w:r w:rsidR="00DD2FFF">
        <w:rPr>
          <w:sz w:val="21"/>
          <w:szCs w:val="21"/>
        </w:rPr>
        <w:t>The core scientific areas potential to be addressed include, but not limited to:</w:t>
      </w:r>
    </w:p>
    <w:p w14:paraId="6B8FD63D" w14:textId="77777777" w:rsidR="00DD2FFF" w:rsidRDefault="00DD2FFF" w:rsidP="00DD0FC8">
      <w:pPr>
        <w:pStyle w:val="ListParagraph"/>
        <w:numPr>
          <w:ilvl w:val="0"/>
          <w:numId w:val="1"/>
        </w:numPr>
        <w:spacing w:after="80" w:line="240" w:lineRule="auto"/>
        <w:ind w:left="432" w:hanging="288"/>
        <w:contextualSpacing w:val="0"/>
        <w:jc w:val="both"/>
        <w:rPr>
          <w:sz w:val="21"/>
          <w:szCs w:val="21"/>
        </w:rPr>
      </w:pPr>
      <w:r>
        <w:rPr>
          <w:sz w:val="21"/>
          <w:szCs w:val="21"/>
        </w:rPr>
        <w:t>Self-assembly systems of surfactants, polymers and proteins at solid-liquid and liquid-liquid interfaces;</w:t>
      </w:r>
    </w:p>
    <w:p w14:paraId="081ADA20" w14:textId="77777777" w:rsidR="00DD2FFF" w:rsidRDefault="00DD2FFF" w:rsidP="00DD0FC8">
      <w:pPr>
        <w:pStyle w:val="ListParagraph"/>
        <w:numPr>
          <w:ilvl w:val="0"/>
          <w:numId w:val="1"/>
        </w:numPr>
        <w:spacing w:after="80" w:line="240" w:lineRule="auto"/>
        <w:ind w:left="432" w:hanging="288"/>
        <w:contextualSpacing w:val="0"/>
        <w:jc w:val="both"/>
        <w:rPr>
          <w:sz w:val="21"/>
          <w:szCs w:val="21"/>
        </w:rPr>
      </w:pPr>
      <w:r>
        <w:rPr>
          <w:sz w:val="21"/>
          <w:szCs w:val="21"/>
        </w:rPr>
        <w:t>Polymer science in thin films, e.g., inter-layer movement, annealing/drying/exchange/wetting processes;</w:t>
      </w:r>
    </w:p>
    <w:p w14:paraId="092EA9C3" w14:textId="77777777" w:rsidR="00DD2FFF" w:rsidRDefault="00DD2FFF" w:rsidP="00DD0FC8">
      <w:pPr>
        <w:pStyle w:val="ListParagraph"/>
        <w:numPr>
          <w:ilvl w:val="0"/>
          <w:numId w:val="1"/>
        </w:numPr>
        <w:spacing w:after="80" w:line="240" w:lineRule="auto"/>
        <w:ind w:left="432" w:hanging="288"/>
        <w:contextualSpacing w:val="0"/>
        <w:jc w:val="both"/>
        <w:rPr>
          <w:sz w:val="21"/>
          <w:szCs w:val="21"/>
        </w:rPr>
      </w:pPr>
      <w:r>
        <w:rPr>
          <w:sz w:val="21"/>
          <w:szCs w:val="21"/>
        </w:rPr>
        <w:t>Interfacial kinetics in e.g., plastics, polymer blends, drug delivery and implant materials, chemical and biological sensors;</w:t>
      </w:r>
    </w:p>
    <w:p w14:paraId="5E3350CA" w14:textId="77777777" w:rsidR="00DD2FFF" w:rsidRDefault="00DD2FFF" w:rsidP="00DD0FC8">
      <w:pPr>
        <w:pStyle w:val="ListParagraph"/>
        <w:numPr>
          <w:ilvl w:val="0"/>
          <w:numId w:val="1"/>
        </w:numPr>
        <w:spacing w:after="80" w:line="240" w:lineRule="auto"/>
        <w:ind w:left="432" w:hanging="288"/>
        <w:contextualSpacing w:val="0"/>
        <w:jc w:val="both"/>
        <w:rPr>
          <w:sz w:val="21"/>
          <w:szCs w:val="21"/>
        </w:rPr>
      </w:pPr>
      <w:r>
        <w:rPr>
          <w:sz w:val="21"/>
          <w:szCs w:val="21"/>
        </w:rPr>
        <w:t>Advanced materials that undergo structural changes in response to external stimuli (chemical, mechanical, electrical or magnetic) for various applications;</w:t>
      </w:r>
    </w:p>
    <w:p w14:paraId="71AF4300" w14:textId="77777777" w:rsidR="00DD2FFF" w:rsidRDefault="00DD2FFF" w:rsidP="00DD0FC8">
      <w:pPr>
        <w:pStyle w:val="ListParagraph"/>
        <w:numPr>
          <w:ilvl w:val="0"/>
          <w:numId w:val="1"/>
        </w:numPr>
        <w:spacing w:after="80" w:line="240" w:lineRule="auto"/>
        <w:ind w:left="432" w:hanging="288"/>
        <w:contextualSpacing w:val="0"/>
        <w:jc w:val="both"/>
        <w:rPr>
          <w:sz w:val="21"/>
          <w:szCs w:val="21"/>
        </w:rPr>
      </w:pPr>
      <w:r>
        <w:rPr>
          <w:sz w:val="21"/>
          <w:szCs w:val="21"/>
        </w:rPr>
        <w:t>Atmospheric science that involves aerosol formation and changes at air-water interface in response to climate change;</w:t>
      </w:r>
    </w:p>
    <w:p w14:paraId="6BAA4D3C" w14:textId="77777777" w:rsidR="00DD2FFF" w:rsidRDefault="00DD2FFF" w:rsidP="00DD0FC8">
      <w:pPr>
        <w:pStyle w:val="ListParagraph"/>
        <w:numPr>
          <w:ilvl w:val="0"/>
          <w:numId w:val="1"/>
        </w:numPr>
        <w:spacing w:after="80" w:line="240" w:lineRule="auto"/>
        <w:ind w:left="432" w:hanging="288"/>
        <w:contextualSpacing w:val="0"/>
        <w:jc w:val="both"/>
        <w:rPr>
          <w:sz w:val="21"/>
          <w:szCs w:val="21"/>
        </w:rPr>
      </w:pPr>
      <w:r>
        <w:rPr>
          <w:sz w:val="21"/>
          <w:szCs w:val="21"/>
        </w:rPr>
        <w:t>Surface chemistry involves changes in structure or chemical composition, e.g., catalysis, oxidation, corrosion or other surface reactions, receptor-ligand binding, drug-target interactions, surface functionalization etc.;</w:t>
      </w:r>
    </w:p>
    <w:p w14:paraId="7F61E8E9" w14:textId="77777777" w:rsidR="00DD2FFF" w:rsidRDefault="00DD2FFF" w:rsidP="00DD0FC8">
      <w:pPr>
        <w:pStyle w:val="ListParagraph"/>
        <w:numPr>
          <w:ilvl w:val="0"/>
          <w:numId w:val="1"/>
        </w:numPr>
        <w:spacing w:after="80" w:line="240" w:lineRule="auto"/>
        <w:ind w:left="432" w:hanging="288"/>
        <w:contextualSpacing w:val="0"/>
        <w:jc w:val="both"/>
        <w:rPr>
          <w:sz w:val="21"/>
          <w:szCs w:val="21"/>
        </w:rPr>
      </w:pPr>
      <w:r>
        <w:rPr>
          <w:sz w:val="21"/>
          <w:szCs w:val="21"/>
        </w:rPr>
        <w:t>Bioscience regarding almost everything that can attach to or penetrate into cell membranes.</w:t>
      </w:r>
    </w:p>
    <w:p w14:paraId="6891BFE9" w14:textId="421FF7A5" w:rsidR="00BF6F77" w:rsidRDefault="00DD2FFF" w:rsidP="00DD0FC8">
      <w:pPr>
        <w:tabs>
          <w:tab w:val="left" w:pos="977"/>
        </w:tabs>
        <w:spacing w:after="80" w:line="240" w:lineRule="auto"/>
        <w:rPr>
          <w:sz w:val="21"/>
          <w:szCs w:val="21"/>
        </w:rPr>
      </w:pPr>
      <w:r>
        <w:rPr>
          <w:b/>
          <w:sz w:val="21"/>
          <w:szCs w:val="21"/>
        </w:rPr>
        <w:t>Keywords:</w:t>
      </w:r>
      <w:r>
        <w:rPr>
          <w:sz w:val="21"/>
          <w:szCs w:val="21"/>
        </w:rPr>
        <w:t xml:space="preserve"> China spallation neutron source; Liquid neutron reflectometer; Scientific areas</w:t>
      </w:r>
    </w:p>
    <w:p w14:paraId="3A7C2C3E" w14:textId="058DCB7E" w:rsidR="00BF6F77" w:rsidRDefault="00BE3C09">
      <w:pPr>
        <w:spacing w:line="24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2A4C114" wp14:editId="36EDC80C">
            <wp:extent cx="4658424" cy="2150042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434" cy="2154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6A2F7C" w14:textId="7CCE0D9E" w:rsidR="000872F9" w:rsidRPr="001354B6" w:rsidRDefault="0071732B" w:rsidP="009225E8">
      <w:pPr>
        <w:spacing w:after="120" w:line="240" w:lineRule="auto"/>
        <w:jc w:val="center"/>
        <w:rPr>
          <w:b/>
          <w:bCs/>
          <w:sz w:val="20"/>
          <w:szCs w:val="20"/>
        </w:rPr>
      </w:pPr>
      <w:r w:rsidRPr="001354B6">
        <w:rPr>
          <w:b/>
          <w:bCs/>
          <w:sz w:val="20"/>
          <w:szCs w:val="20"/>
        </w:rPr>
        <w:t>Figure 1. Instrument layout of the reflectometer</w:t>
      </w:r>
    </w:p>
    <w:sectPr w:rsidR="000872F9" w:rsidRPr="001354B6">
      <w:pgSz w:w="12240" w:h="15840"/>
      <w:pgMar w:top="1440" w:right="1411" w:bottom="1440" w:left="141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E1D077" w14:textId="77777777" w:rsidR="00DB73A5" w:rsidRDefault="00DB73A5">
      <w:pPr>
        <w:spacing w:line="240" w:lineRule="auto"/>
      </w:pPr>
      <w:r>
        <w:separator/>
      </w:r>
    </w:p>
  </w:endnote>
  <w:endnote w:type="continuationSeparator" w:id="0">
    <w:p w14:paraId="246505BC" w14:textId="77777777" w:rsidR="00DB73A5" w:rsidRDefault="00DB73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705ED" w14:textId="77777777" w:rsidR="00DB73A5" w:rsidRDefault="00DB73A5">
      <w:pPr>
        <w:spacing w:after="0"/>
      </w:pPr>
      <w:r>
        <w:separator/>
      </w:r>
    </w:p>
  </w:footnote>
  <w:footnote w:type="continuationSeparator" w:id="0">
    <w:p w14:paraId="666A63F5" w14:textId="77777777" w:rsidR="00DB73A5" w:rsidRDefault="00DB73A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955DF"/>
    <w:multiLevelType w:val="multilevel"/>
    <w:tmpl w:val="015955D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859"/>
    <w:rsid w:val="F7FF96C9"/>
    <w:rsid w:val="00005E99"/>
    <w:rsid w:val="0002537C"/>
    <w:rsid w:val="000872F9"/>
    <w:rsid w:val="000C1DC3"/>
    <w:rsid w:val="001354B6"/>
    <w:rsid w:val="001501DC"/>
    <w:rsid w:val="00161E8E"/>
    <w:rsid w:val="001712F7"/>
    <w:rsid w:val="001B3DFE"/>
    <w:rsid w:val="00243B2F"/>
    <w:rsid w:val="00247C73"/>
    <w:rsid w:val="00290A92"/>
    <w:rsid w:val="002A26DE"/>
    <w:rsid w:val="0034301E"/>
    <w:rsid w:val="00347859"/>
    <w:rsid w:val="00372690"/>
    <w:rsid w:val="00383D6B"/>
    <w:rsid w:val="003917B7"/>
    <w:rsid w:val="003B2814"/>
    <w:rsid w:val="003E7751"/>
    <w:rsid w:val="00410C51"/>
    <w:rsid w:val="00423CBA"/>
    <w:rsid w:val="00430C17"/>
    <w:rsid w:val="0043441C"/>
    <w:rsid w:val="004D4BA2"/>
    <w:rsid w:val="004F64AB"/>
    <w:rsid w:val="00503B0A"/>
    <w:rsid w:val="0054462D"/>
    <w:rsid w:val="005E2338"/>
    <w:rsid w:val="005F5964"/>
    <w:rsid w:val="006B0A87"/>
    <w:rsid w:val="006C0D8F"/>
    <w:rsid w:val="006D3AA8"/>
    <w:rsid w:val="006F433C"/>
    <w:rsid w:val="007076B8"/>
    <w:rsid w:val="0071732B"/>
    <w:rsid w:val="00843812"/>
    <w:rsid w:val="008E605A"/>
    <w:rsid w:val="009225E8"/>
    <w:rsid w:val="00951805"/>
    <w:rsid w:val="009975E6"/>
    <w:rsid w:val="00A54C6E"/>
    <w:rsid w:val="00AE7A9E"/>
    <w:rsid w:val="00B2578D"/>
    <w:rsid w:val="00B337F9"/>
    <w:rsid w:val="00BE3C09"/>
    <w:rsid w:val="00BF6F77"/>
    <w:rsid w:val="00C7640D"/>
    <w:rsid w:val="00CC544D"/>
    <w:rsid w:val="00CE25B6"/>
    <w:rsid w:val="00D037F7"/>
    <w:rsid w:val="00D34DE9"/>
    <w:rsid w:val="00D4578B"/>
    <w:rsid w:val="00DB73A5"/>
    <w:rsid w:val="00DD0FC8"/>
    <w:rsid w:val="00DD2FFF"/>
    <w:rsid w:val="00EA3ED9"/>
    <w:rsid w:val="00EC26A0"/>
    <w:rsid w:val="00ED3993"/>
    <w:rsid w:val="00EE14F8"/>
    <w:rsid w:val="00F27D52"/>
    <w:rsid w:val="00F61678"/>
    <w:rsid w:val="00F9431D"/>
    <w:rsid w:val="00FE4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6CEF6D6"/>
  <w15:docId w15:val="{03BD4618-62BB-4E40-9061-BB6D1CF22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jliang@ihep.ac.cn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wangguang@ihep.ac.c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webuser</dc:creator>
  <cp:lastModifiedBy>webuser</cp:lastModifiedBy>
  <cp:revision>52</cp:revision>
  <dcterms:created xsi:type="dcterms:W3CDTF">2023-10-02T17:40:00Z</dcterms:created>
  <dcterms:modified xsi:type="dcterms:W3CDTF">2024-04-10T04:32:00Z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