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240"/>
        <w:jc w:val="center"/>
        <w:rPr>
          <w:rFonts w:ascii="Times New Roman" w:hAnsi="Times New Roman" w:cs="Times New Roman"/>
          <w:b/>
          <w:b/>
          <w:bCs/>
        </w:rPr>
      </w:pPr>
      <w:r>
        <w:rPr>
          <w:rFonts w:cs="Times New Roman" w:ascii="Times New Roman" w:hAnsi="Times New Roman"/>
          <w:b/>
          <w:bCs/>
          <w:sz w:val="28"/>
          <w:szCs w:val="28"/>
        </w:rPr>
        <w:t xml:space="preserve">Surface Defects Affect Fluorescence of Caesium Lead Halide Perovskite Supercrystals </w:t>
      </w:r>
    </w:p>
    <w:p>
      <w:pPr>
        <w:pStyle w:val="Normal"/>
        <w:spacing w:lineRule="auto" w:line="360"/>
        <w:jc w:val="center"/>
        <w:rPr>
          <w:rFonts w:ascii="Times New Roman" w:hAnsi="Times New Roman" w:cs="Times New Roman"/>
          <w:bCs/>
        </w:rPr>
      </w:pPr>
      <w:r>
        <w:rPr>
          <w:rFonts w:cs="Times New Roman" w:ascii="Times New Roman" w:hAnsi="Times New Roman"/>
          <w:bCs/>
        </w:rPr>
        <w:t>Dmitry Lapkin</w:t>
      </w:r>
      <w:r>
        <w:rPr>
          <w:rFonts w:cs="Times New Roman" w:ascii="Times New Roman" w:hAnsi="Times New Roman"/>
          <w:bCs/>
          <w:vertAlign w:val="superscript"/>
        </w:rPr>
        <w:t>1</w:t>
      </w:r>
      <w:r>
        <w:rPr>
          <w:rFonts w:cs="Times New Roman" w:ascii="Times New Roman" w:hAnsi="Times New Roman"/>
          <w:bCs/>
        </w:rPr>
        <w:t>, Christopher Kirsch</w:t>
      </w:r>
      <w:r>
        <w:rPr>
          <w:rFonts w:cs="Times New Roman" w:ascii="Times New Roman" w:hAnsi="Times New Roman"/>
          <w:bCs/>
          <w:vertAlign w:val="superscript"/>
        </w:rPr>
        <w:t>2</w:t>
      </w:r>
      <w:r>
        <w:rPr>
          <w:rFonts w:cs="Times New Roman" w:ascii="Times New Roman" w:hAnsi="Times New Roman"/>
          <w:bCs/>
        </w:rPr>
        <w:t>, Jonas Hiller</w:t>
      </w:r>
      <w:r>
        <w:rPr>
          <w:rFonts w:cs="Times New Roman" w:ascii="Times New Roman" w:hAnsi="Times New Roman"/>
          <w:bCs/>
          <w:vertAlign w:val="superscript"/>
        </w:rPr>
        <w:t>2</w:t>
      </w:r>
      <w:r>
        <w:rPr>
          <w:rFonts w:cs="Times New Roman" w:ascii="Times New Roman" w:hAnsi="Times New Roman"/>
          <w:bCs/>
        </w:rPr>
        <w:t>, Ivan A. Zaluzhnyy</w:t>
      </w:r>
      <w:r>
        <w:rPr>
          <w:rFonts w:cs="Times New Roman" w:ascii="Times New Roman" w:hAnsi="Times New Roman"/>
          <w:bCs/>
          <w:vertAlign w:val="superscript"/>
        </w:rPr>
        <w:t>1</w:t>
      </w:r>
      <w:r>
        <w:rPr>
          <w:rFonts w:cs="Times New Roman" w:ascii="Times New Roman" w:hAnsi="Times New Roman"/>
          <w:bCs/>
        </w:rPr>
        <w:t>, Marcus Scheele</w:t>
      </w:r>
      <w:r>
        <w:rPr>
          <w:rFonts w:cs="Times New Roman" w:ascii="Times New Roman" w:hAnsi="Times New Roman"/>
          <w:bCs/>
          <w:vertAlign w:val="superscript"/>
        </w:rPr>
        <w:t>2</w:t>
      </w:r>
      <w:r>
        <w:rPr>
          <w:rFonts w:cs="Times New Roman" w:ascii="Times New Roman" w:hAnsi="Times New Roman"/>
          <w:bCs/>
        </w:rPr>
        <w:t>,</w:t>
      </w:r>
    </w:p>
    <w:p>
      <w:pPr>
        <w:pStyle w:val="Normal"/>
        <w:spacing w:lineRule="auto" w:line="360"/>
        <w:jc w:val="center"/>
        <w:rPr>
          <w:rFonts w:ascii="Times New Roman" w:hAnsi="Times New Roman" w:cs="Times New Roman"/>
          <w:bCs/>
          <w:vertAlign w:val="superscript"/>
        </w:rPr>
      </w:pPr>
      <w:r>
        <w:rPr>
          <w:rFonts w:cs="Times New Roman" w:ascii="Times New Roman" w:hAnsi="Times New Roman"/>
          <w:bCs/>
        </w:rPr>
        <w:t>Ivan A. Vartanyants</w:t>
      </w:r>
      <w:r>
        <w:rPr>
          <w:rFonts w:cs="Times New Roman" w:ascii="Times New Roman" w:hAnsi="Times New Roman"/>
          <w:bCs/>
          <w:vertAlign w:val="superscript"/>
        </w:rPr>
        <w:t>2</w:t>
      </w:r>
      <w:r>
        <w:rPr>
          <w:rFonts w:cs="Times New Roman" w:ascii="Times New Roman" w:hAnsi="Times New Roman"/>
          <w:bCs/>
        </w:rPr>
        <w:t>, Frank Schreiber</w:t>
      </w:r>
      <w:r>
        <w:rPr>
          <w:rFonts w:cs="Times New Roman" w:ascii="Times New Roman" w:hAnsi="Times New Roman"/>
          <w:bCs/>
          <w:vertAlign w:val="superscript"/>
        </w:rPr>
        <w:t>1</w:t>
      </w:r>
    </w:p>
    <w:p>
      <w:pPr>
        <w:pStyle w:val="Standard"/>
        <w:numPr>
          <w:ilvl w:val="0"/>
          <w:numId w:val="1"/>
        </w:numPr>
        <w:jc w:val="center"/>
        <w:rPr>
          <w:rFonts w:ascii="Times New Roman" w:hAnsi="Times New Roman" w:cs="Times New Roman"/>
          <w:i/>
          <w:i/>
          <w:iCs/>
          <w:sz w:val="20"/>
          <w:szCs w:val="20"/>
        </w:rPr>
      </w:pPr>
      <w:r>
        <w:rPr>
          <w:rFonts w:cs="Times New Roman" w:ascii="Times New Roman" w:hAnsi="Times New Roman"/>
          <w:i/>
          <w:iCs/>
          <w:sz w:val="20"/>
          <w:szCs w:val="20"/>
        </w:rPr>
        <w:t>Institute of Applied Physics, University of Tübingen, Tübingen, Germany</w:t>
      </w:r>
    </w:p>
    <w:p>
      <w:pPr>
        <w:pStyle w:val="Standard"/>
        <w:numPr>
          <w:ilvl w:val="0"/>
          <w:numId w:val="1"/>
        </w:numPr>
        <w:jc w:val="center"/>
        <w:rPr>
          <w:rFonts w:ascii="Times New Roman" w:hAnsi="Times New Roman" w:cs="Times New Roman"/>
          <w:i/>
          <w:i/>
          <w:iCs/>
          <w:sz w:val="20"/>
          <w:szCs w:val="20"/>
        </w:rPr>
      </w:pPr>
      <w:r>
        <w:rPr>
          <w:rFonts w:cs="Times New Roman" w:ascii="Times New Roman" w:hAnsi="Times New Roman"/>
          <w:i/>
          <w:iCs/>
          <w:sz w:val="20"/>
          <w:szCs w:val="20"/>
        </w:rPr>
        <w:t>Institute of Physical and Theoretical Chemistry, University of Tübingen, Tübingen, Germany</w:t>
      </w:r>
    </w:p>
    <w:p>
      <w:pPr>
        <w:pStyle w:val="Standard"/>
        <w:numPr>
          <w:ilvl w:val="0"/>
          <w:numId w:val="1"/>
        </w:numPr>
        <w:jc w:val="center"/>
        <w:rPr>
          <w:rFonts w:ascii="Times New Roman" w:hAnsi="Times New Roman" w:cs="Times New Roman"/>
          <w:i/>
          <w:i/>
          <w:iCs/>
          <w:sz w:val="20"/>
          <w:szCs w:val="20"/>
          <w:lang w:val="de-DE"/>
        </w:rPr>
      </w:pPr>
      <w:r>
        <w:rPr>
          <w:rFonts w:cs="Times New Roman" w:ascii="Times New Roman" w:hAnsi="Times New Roman"/>
          <w:i/>
          <w:iCs/>
          <w:sz w:val="20"/>
          <w:szCs w:val="20"/>
          <w:lang w:val="de-DE"/>
        </w:rPr>
        <w:t>Deutsches Elektronen-Synchrotron DESY, Hamburg, Germany</w:t>
      </w:r>
    </w:p>
    <w:p>
      <w:pPr>
        <w:pStyle w:val="Standard"/>
        <w:jc w:val="center"/>
        <w:rPr>
          <w:rFonts w:ascii="Times New Roman" w:hAnsi="Times New Roman" w:cs="Times New Roman"/>
          <w:lang w:val="de-DE"/>
        </w:rPr>
      </w:pPr>
      <w:r>
        <w:rPr>
          <w:rFonts w:cs="Times New Roman" w:ascii="Times New Roman" w:hAnsi="Times New Roman"/>
          <w:lang w:val="de-DE"/>
        </w:rPr>
      </w:r>
    </w:p>
    <w:p>
      <w:pPr>
        <w:pStyle w:val="Standard"/>
        <w:spacing w:lineRule="auto" w:line="360" w:before="57" w:after="57"/>
        <w:ind w:firstLine="709"/>
        <w:jc w:val="both"/>
        <w:rPr>
          <w:rFonts w:ascii="Times New Roman" w:hAnsi="Times New Roman" w:cs="Times New Roman"/>
        </w:rPr>
      </w:pPr>
      <w:r>
        <w:rPr>
          <w:rFonts w:cs="Times New Roman" w:ascii="Times New Roman" w:hAnsi="Times New Roman"/>
        </w:rPr>
        <w:t>Advances in the self-assembly of colloidal nanocrystals (NCs) from solution into three-dimensional arrays with long-range order have enabled the design of microscopic “supercrystals” that approach the structural precision of atomic single crystals. The individual NCs, which are the building blocks of a supercrystal, are often regarded as “artificial atoms”, and hence analogies between atomic crystals and such supercrystals have been made.</w:t>
      </w:r>
      <w:r>
        <w:rPr/>
        <w:t xml:space="preserve"> </w:t>
      </w:r>
      <w:r>
        <w:rPr>
          <w:rFonts w:cs="Times New Roman" w:ascii="Times New Roman" w:hAnsi="Times New Roman"/>
        </w:rPr>
        <w:t>In view of the recent progress in exploiting the massive structural coherence in NC supercrystals to generate collective optoelectronic properties, a critical question remains whether this artificial atom analogy can be extended towards the optical properties of NC supercrystals.</w:t>
      </w:r>
    </w:p>
    <w:p>
      <w:pPr>
        <w:pStyle w:val="Standard"/>
        <w:spacing w:lineRule="auto" w:line="360" w:before="57" w:after="57"/>
        <w:ind w:firstLine="709"/>
        <w:jc w:val="both"/>
        <w:rPr>
          <w:rFonts w:ascii="Times New Roman" w:hAnsi="Times New Roman" w:cs="Times New Roman"/>
        </w:rPr>
      </w:pPr>
      <w:r>
        <w:rPr>
          <w:rFonts w:cs="Times New Roman" w:ascii="Times New Roman" w:hAnsi="Times New Roman"/>
        </w:rPr>
        <w:t>In this work, we show that in close analogy to atomic crystals, CsPbBr</w:t>
      </w:r>
      <w:r>
        <w:rPr>
          <w:rFonts w:cs="Times New Roman" w:ascii="Times New Roman" w:hAnsi="Times New Roman"/>
          <w:vertAlign w:val="subscript"/>
        </w:rPr>
        <w:t>2</w:t>
      </w:r>
      <w:r>
        <w:rPr>
          <w:rFonts w:cs="Times New Roman" w:ascii="Times New Roman" w:hAnsi="Times New Roman"/>
        </w:rPr>
        <w:t>Cl and CsPbBr</w:t>
      </w:r>
      <w:r>
        <w:rPr>
          <w:rFonts w:cs="Times New Roman" w:ascii="Times New Roman" w:hAnsi="Times New Roman"/>
          <w:vertAlign w:val="subscript"/>
        </w:rPr>
        <w:t>3</w:t>
      </w:r>
      <w:r>
        <w:rPr>
          <w:rFonts w:cs="Times New Roman" w:ascii="Times New Roman" w:hAnsi="Times New Roman"/>
        </w:rPr>
        <w:t xml:space="preserve"> NC supercrystals exhibit structural distortions near their surfaces which significantly alter their fluorescence properties. [1]</w:t>
      </w:r>
      <w:r>
        <w:rPr/>
        <w:t xml:space="preserve"> </w:t>
      </w:r>
      <w:r>
        <w:rPr>
          <w:rFonts w:cs="Times New Roman" w:ascii="Times New Roman" w:hAnsi="Times New Roman"/>
        </w:rPr>
        <w:t>Confocal fluorescence microscopy of individual CsPbBr</w:t>
      </w:r>
      <w:r>
        <w:rPr>
          <w:rFonts w:cs="Times New Roman" w:ascii="Times New Roman" w:hAnsi="Times New Roman"/>
          <w:vertAlign w:val="subscript"/>
        </w:rPr>
        <w:t>3</w:t>
      </w:r>
      <w:r>
        <w:rPr>
          <w:rFonts w:cs="Times New Roman" w:ascii="Times New Roman" w:hAnsi="Times New Roman"/>
        </w:rPr>
        <w:t xml:space="preserve"> supercrystals displayed spatial variations in the fluorescence peak wavelength and intensity, indicating that local structural inhomogeneities may substantially affect the fluorescence properties of the entire supercrystal. Our approach is based on simultaneous WAXS and SAXS with a nano-focused beam to probe the structural defects and crystallographic orientation of the supercrystal and the constituting NCs on a local level, respectively. By correlation with diffraction-limited confocal fluorescence microscopy and m</w:t>
      </w:r>
      <w:bookmarkStart w:id="0" w:name="_GoBack"/>
      <w:bookmarkEnd w:id="0"/>
      <w:r>
        <w:rPr>
          <w:rFonts w:cs="Times New Roman" w:ascii="Times New Roman" w:hAnsi="Times New Roman"/>
        </w:rPr>
        <w:t xml:space="preserve">odelling with density functional theory (DFT) we present a proof that compressive strain, a loss of structural coherence and an increasing atomic misalignment between adjacent nanocrystals at the edges of </w:t>
      </w:r>
      <w:r>
        <w:rPr>
          <w:rFonts w:cs="Times New Roman" w:ascii="Times New Roman" w:hAnsi="Times New Roman"/>
        </w:rPr>
        <w:t>perovskite</w:t>
      </w:r>
      <w:r>
        <w:rPr>
          <w:rFonts w:cs="Times New Roman" w:ascii="Times New Roman" w:hAnsi="Times New Roman"/>
        </w:rPr>
        <w:t xml:space="preserve"> NC supercrystals are responsible for a blue shifted emission and decrease of the fluorescence lifetimes.</w:t>
      </w:r>
    </w:p>
    <w:p>
      <w:pPr>
        <w:pStyle w:val="Standard"/>
        <w:spacing w:lineRule="auto" w:line="360" w:before="57" w:after="57"/>
        <w:jc w:val="both"/>
        <w:rPr>
          <w:rFonts w:ascii="Times New Roman" w:hAnsi="Times New Roman" w:cs="Times New Roman"/>
        </w:rPr>
      </w:pPr>
      <w:r>
        <w:rPr>
          <w:rFonts w:cs="Times New Roman" w:ascii="Times New Roman" w:hAnsi="Times New Roman"/>
        </w:rPr>
      </w:r>
    </w:p>
    <w:p>
      <w:pPr>
        <w:pStyle w:val="Standard"/>
        <w:spacing w:lineRule="auto" w:line="360" w:before="57" w:after="57"/>
        <w:jc w:val="both"/>
        <w:rPr>
          <w:rFonts w:ascii="Times New Roman" w:hAnsi="Times New Roman" w:cs="Times New Roman"/>
          <w:b/>
          <w:b/>
        </w:rPr>
      </w:pPr>
      <w:r>
        <w:rPr>
          <w:rFonts w:cs="Times New Roman" w:ascii="Times New Roman" w:hAnsi="Times New Roman"/>
          <w:b/>
        </w:rPr>
        <w:t>References:</w:t>
      </w:r>
    </w:p>
    <w:p>
      <w:pPr>
        <w:pStyle w:val="Standard"/>
        <w:numPr>
          <w:ilvl w:val="0"/>
          <w:numId w:val="2"/>
        </w:numPr>
        <w:spacing w:lineRule="auto" w:line="360" w:before="57" w:after="57"/>
        <w:ind w:left="426" w:hanging="426"/>
        <w:jc w:val="both"/>
        <w:rPr>
          <w:rFonts w:ascii="Times New Roman" w:hAnsi="Times New Roman" w:cs="Times New Roman"/>
        </w:rPr>
      </w:pPr>
      <w:r>
        <w:rPr>
          <w:rFonts w:cs="Times New Roman" w:ascii="Times New Roman" w:hAnsi="Times New Roman"/>
        </w:rPr>
        <w:t xml:space="preserve">D. Lapkin et al., “Spatially resolved fluorescence of caesium lead halide perovskite supercrystals reveals quasi-atomic behavior of nanocrystals”, Nature Commun. </w:t>
      </w:r>
      <w:r>
        <w:rPr>
          <w:rFonts w:cs="Times New Roman" w:ascii="Times New Roman" w:hAnsi="Times New Roman"/>
          <w:b/>
        </w:rPr>
        <w:t>13</w:t>
      </w:r>
      <w:r>
        <w:rPr>
          <w:rFonts w:cs="Times New Roman" w:ascii="Times New Roman" w:hAnsi="Times New Roman"/>
        </w:rPr>
        <w:t xml:space="preserve"> (2022), 892</w:t>
      </w:r>
    </w:p>
    <w:sectPr>
      <w:headerReference w:type="default" r:id="rId2"/>
      <w:type w:val="nextPage"/>
      <w:pgSz w:w="11906" w:h="16838"/>
      <w:pgMar w:left="1134" w:right="1134" w:gutter="0" w:header="72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Standard"/>
    <w:next w:val="Textbody1"/>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HeaderandFooter" w:customStyle="1">
    <w:name w:val="Header and Footer"/>
    <w:basedOn w:val="Standard"/>
    <w:qFormat/>
    <w:pPr>
      <w:suppressLineNumbers/>
      <w:tabs>
        <w:tab w:val="clear" w:pos="709"/>
        <w:tab w:val="center" w:pos="4819" w:leader="none"/>
        <w:tab w:val="right" w:pos="9638" w:leader="none"/>
      </w:tabs>
    </w:pPr>
    <w:rPr/>
  </w:style>
  <w:style w:type="paragraph" w:styleId="Header">
    <w:name w:val="Head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LibreOffice/7.3.7.2$Linux_X86_64 LibreOffice_project/30$Build-2</Application>
  <AppVersion>15.0000</AppVersion>
  <Pages>1</Pages>
  <Words>328</Words>
  <Characters>2140</Characters>
  <CharactersWithSpaces>2455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2024-04-10T11:25:00Z</dcterms:created>
  <dc:creator>dmitryl</dc:creator>
  <dc:description/>
  <dc:language>en-US</dc:language>
  <cp:lastModifiedBy/>
  <dcterms:modified xsi:type="dcterms:W3CDTF">2024-04-11T17:59:21Z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